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F474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18" w:name="_GoBack"/>
      <w:r>
        <w:rPr>
          <w:rFonts w:hint="eastAsia" w:ascii="方正小标宋简体" w:hAnsi="方正小标宋简体" w:eastAsia="方正小标宋简体" w:cs="方正小标宋简体"/>
          <w:sz w:val="44"/>
          <w:szCs w:val="44"/>
          <w:lang w:val="en-US" w:eastAsia="zh-CN"/>
        </w:rPr>
        <w:t xml:space="preserve">池州海螺环保科技有限责任公司2025年 </w:t>
      </w:r>
    </w:p>
    <w:p w14:paraId="0C8126EF">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替代燃料及污染土堆棚生产劳务招标公示</w:t>
      </w:r>
      <w:bookmarkEnd w:id="18"/>
    </w:p>
    <w:p w14:paraId="22ECDA53">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根据招标人（</w:t>
      </w:r>
      <w:r>
        <w:rPr>
          <w:rFonts w:hint="eastAsia" w:ascii="仿宋_GB2312" w:hAnsi="仿宋_GB2312" w:eastAsia="仿宋_GB2312" w:cs="仿宋_GB2312"/>
          <w:color w:val="000000"/>
          <w:spacing w:val="0"/>
          <w:w w:val="100"/>
          <w:position w:val="0"/>
          <w:sz w:val="32"/>
          <w:szCs w:val="32"/>
          <w:lang w:val="en-US" w:eastAsia="zh-CN"/>
        </w:rPr>
        <w:t>池州海螺环保科技</w:t>
      </w:r>
      <w:r>
        <w:rPr>
          <w:rFonts w:hint="eastAsia" w:ascii="仿宋_GB2312" w:hAnsi="仿宋_GB2312" w:eastAsia="仿宋_GB2312" w:cs="仿宋_GB2312"/>
          <w:color w:val="000000"/>
          <w:spacing w:val="0"/>
          <w:w w:val="100"/>
          <w:position w:val="0"/>
          <w:sz w:val="32"/>
          <w:szCs w:val="32"/>
        </w:rPr>
        <w:t>有限责任公司）生产经营需求，为确保招标人</w:t>
      </w:r>
      <w:r>
        <w:rPr>
          <w:rFonts w:hint="eastAsia" w:ascii="仿宋_GB2312" w:hAnsi="仿宋_GB2312" w:eastAsia="仿宋_GB2312" w:cs="仿宋_GB2312"/>
          <w:color w:val="auto"/>
          <w:spacing w:val="0"/>
          <w:w w:val="100"/>
          <w:position w:val="0"/>
          <w:sz w:val="32"/>
          <w:szCs w:val="32"/>
          <w:lang w:val="en-US" w:eastAsia="zh-CN"/>
        </w:rPr>
        <w:t>生</w:t>
      </w:r>
      <w:r>
        <w:rPr>
          <w:rFonts w:hint="eastAsia" w:ascii="仿宋_GB2312" w:hAnsi="仿宋_GB2312" w:eastAsia="仿宋_GB2312" w:cs="仿宋_GB2312"/>
          <w:color w:val="000000"/>
          <w:spacing w:val="0"/>
          <w:w w:val="100"/>
          <w:position w:val="0"/>
          <w:sz w:val="32"/>
          <w:szCs w:val="32"/>
          <w:lang w:val="en-US" w:eastAsia="zh-CN"/>
        </w:rPr>
        <w:t>产运行</w:t>
      </w:r>
      <w:r>
        <w:rPr>
          <w:rFonts w:hint="eastAsia" w:ascii="仿宋_GB2312" w:hAnsi="仿宋_GB2312" w:eastAsia="仿宋_GB2312" w:cs="仿宋_GB2312"/>
          <w:color w:val="000000"/>
          <w:spacing w:val="0"/>
          <w:w w:val="100"/>
          <w:position w:val="0"/>
          <w:sz w:val="32"/>
          <w:szCs w:val="32"/>
        </w:rPr>
        <w:t>等工作</w:t>
      </w:r>
      <w:r>
        <w:rPr>
          <w:rFonts w:hint="eastAsia" w:ascii="仿宋_GB2312" w:hAnsi="仿宋_GB2312" w:eastAsia="仿宋_GB2312" w:cs="仿宋_GB2312"/>
          <w:color w:val="000000"/>
          <w:spacing w:val="0"/>
          <w:w w:val="100"/>
          <w:position w:val="0"/>
          <w:sz w:val="32"/>
          <w:szCs w:val="32"/>
          <w:lang w:val="en-US" w:eastAsia="zh-CN"/>
        </w:rPr>
        <w:t>的</w:t>
      </w:r>
      <w:r>
        <w:rPr>
          <w:rFonts w:hint="eastAsia" w:ascii="仿宋_GB2312" w:hAnsi="仿宋_GB2312" w:eastAsia="仿宋_GB2312" w:cs="仿宋_GB2312"/>
          <w:color w:val="000000"/>
          <w:spacing w:val="0"/>
          <w:w w:val="100"/>
          <w:position w:val="0"/>
          <w:sz w:val="32"/>
          <w:szCs w:val="32"/>
        </w:rPr>
        <w:t>开展，本着</w:t>
      </w:r>
      <w:r>
        <w:rPr>
          <w:rFonts w:hint="eastAsia" w:ascii="仿宋_GB2312" w:hAnsi="仿宋_GB2312" w:eastAsia="仿宋_GB2312" w:cs="仿宋_GB2312"/>
          <w:color w:val="000000"/>
          <w:spacing w:val="0"/>
          <w:w w:val="100"/>
          <w:position w:val="0"/>
          <w:sz w:val="32"/>
          <w:szCs w:val="32"/>
          <w:lang w:val="zh-CN" w:eastAsia="zh-CN" w:bidi="zh-CN"/>
        </w:rPr>
        <w:t>“公</w:t>
      </w:r>
      <w:r>
        <w:rPr>
          <w:rFonts w:hint="eastAsia" w:ascii="仿宋_GB2312" w:hAnsi="仿宋_GB2312" w:eastAsia="仿宋_GB2312" w:cs="仿宋_GB2312"/>
          <w:color w:val="000000"/>
          <w:spacing w:val="0"/>
          <w:w w:val="100"/>
          <w:position w:val="0"/>
          <w:sz w:val="32"/>
          <w:szCs w:val="32"/>
        </w:rPr>
        <w:t>开、公平、公正”的原则，选择经营能力较好、经营资质合格、保供和服务能力较强的劳务公司承接招标人劳务，欢迎具备条件的单位参加，现将有关事项公示如下：</w:t>
      </w:r>
    </w:p>
    <w:p w14:paraId="1680FAA5">
      <w:pPr>
        <w:pStyle w:val="6"/>
        <w:keepNext w:val="0"/>
        <w:keepLines w:val="0"/>
        <w:pageBreakBefore w:val="0"/>
        <w:widowControl w:val="0"/>
        <w:numPr>
          <w:ilvl w:val="0"/>
          <w:numId w:val="1"/>
        </w:numPr>
        <w:shd w:val="clear" w:color="auto" w:fill="auto"/>
        <w:tabs>
          <w:tab w:val="left" w:pos="358"/>
          <w:tab w:val="clear" w:pos="312"/>
        </w:tabs>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仿宋_GB2312" w:hAnsi="仿宋_GB2312" w:eastAsia="仿宋_GB2312" w:cs="仿宋_GB2312"/>
          <w:b/>
          <w:bCs/>
          <w:color w:val="000000"/>
          <w:spacing w:val="0"/>
          <w:w w:val="100"/>
          <w:position w:val="0"/>
          <w:sz w:val="32"/>
          <w:szCs w:val="32"/>
        </w:rPr>
      </w:pPr>
      <w:r>
        <w:rPr>
          <w:rFonts w:hint="eastAsia" w:ascii="仿宋_GB2312" w:hAnsi="仿宋_GB2312" w:eastAsia="仿宋_GB2312" w:cs="仿宋_GB2312"/>
          <w:b/>
          <w:bCs/>
          <w:color w:val="000000"/>
          <w:spacing w:val="0"/>
          <w:w w:val="100"/>
          <w:position w:val="0"/>
          <w:sz w:val="32"/>
          <w:szCs w:val="32"/>
        </w:rPr>
        <w:t>招标标的</w:t>
      </w:r>
    </w:p>
    <w:p w14:paraId="652DEB97">
      <w:pPr>
        <w:pStyle w:val="6"/>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包件</w:t>
      </w:r>
      <w:r>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t>①</w:t>
      </w:r>
    </w:p>
    <w:p w14:paraId="023C1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负责4#、5#线替代燃料内利用装载机对成品替代燃料投加使用所涉及生产现场替代燃料处置、投加相关工作事项。</w:t>
      </w:r>
    </w:p>
    <w:p w14:paraId="2C5617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包件</w:t>
      </w:r>
      <w:r>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t>②</w:t>
      </w:r>
    </w:p>
    <w:p w14:paraId="01B51E9E">
      <w:pPr>
        <w:pStyle w:val="6"/>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lang w:val="en-US" w:eastAsia="zh-CN"/>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负责污染土堆棚内利用装载机对污染土或一般固废转运车辆的分拣、堆放、</w:t>
      </w:r>
      <w:r>
        <w:rPr>
          <w:rFonts w:hint="eastAsia" w:ascii="仿宋_GB2312" w:hAnsi="仿宋_GB2312" w:eastAsia="仿宋_GB2312" w:cs="仿宋_GB2312"/>
          <w:color w:val="000000"/>
          <w:spacing w:val="-5"/>
          <w:kern w:val="0"/>
          <w:sz w:val="32"/>
          <w:szCs w:val="32"/>
          <w:lang w:val="en-US" w:eastAsia="zh-CN" w:bidi="ar"/>
        </w:rPr>
        <w:t>堆棚污染土皮带上料</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及调度运输车辆进行转运、打堆等事项或其他规定的现场劳务相关工作等。</w:t>
      </w:r>
    </w:p>
    <w:p w14:paraId="436F8828">
      <w:pPr>
        <w:pStyle w:val="6"/>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560" w:lineRule="exact"/>
        <w:ind w:leftChars="200" w:right="0" w:rightChars="0" w:firstLine="320" w:firstLineChars="100"/>
        <w:jc w:val="both"/>
        <w:textAlignment w:val="auto"/>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包件</w:t>
      </w:r>
      <w:r>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t>③</w:t>
      </w:r>
    </w:p>
    <w:p w14:paraId="5BFD88FB">
      <w:pPr>
        <w:pStyle w:val="6"/>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560" w:lineRule="exact"/>
        <w:ind w:leftChars="200" w:right="0" w:rightChars="0" w:firstLine="320" w:firstLineChars="100"/>
        <w:jc w:val="both"/>
        <w:textAlignment w:val="auto"/>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负责4#、5#、6#、7#、8#线替代燃料范围内所有生产现场、办公楼以及周边环境卫生清理等事项或其他规定的现场清洁劳务工作等（确保每班人数按要求配置齐全）。</w:t>
      </w:r>
    </w:p>
    <w:p w14:paraId="5E887791">
      <w:pPr>
        <w:pStyle w:val="6"/>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注：涉及汽车运输全部采用新能源或国六排放标准车辆；非道路移动机械均需配备AI防撞系统，原则上需采用新能源，无对应产品的采用国四及以上排放标准机械。</w:t>
      </w:r>
    </w:p>
    <w:p w14:paraId="461BEE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1.1计费结算方式</w:t>
      </w:r>
    </w:p>
    <w:p w14:paraId="1372E29C">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 xml:space="preserve">    双方每月结算一次费用，每月10日乙方根据甲方提供的数据开具增值税专用发票（每月根据实际结算金额</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6</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%的增值税专用发票），甲方在每月25日前根据开具的发票结算上月实际发生的费用，一次性支付给乙方。</w:t>
      </w:r>
    </w:p>
    <w:p w14:paraId="66B05274">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0" w:firstLineChars="0"/>
        <w:jc w:val="left"/>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 xml:space="preserve">    1.2结算时，乙方须开具双方约定税率的增值税专用发票，由于发票不能认证抵扣所导致的税收损失（包括但不限于税款、滞纳金、罚款及相关的损失）由乙方承担，否则甲方有权拒绝付款；如遇国家税率调整，则按不含税单价不变原则，开票税率同步调整；乙方因违反本协议的约定，按协议规定应向甲方支付的违约金或损害赔偿金，甲方从乙方的结算费用中直接扣除。</w:t>
      </w:r>
    </w:p>
    <w:p w14:paraId="11B41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1.3按照本协议规定，乙方按时保质保量完成，具体结算标准如下：</w:t>
      </w:r>
    </w:p>
    <w:p w14:paraId="47E8F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包件①</w:t>
      </w:r>
      <w:r>
        <w:rPr>
          <w:rFonts w:hint="eastAsia" w:ascii="仿宋_GB2312" w:hAnsi="仿宋_GB2312" w:eastAsia="仿宋_GB2312" w:cs="仿宋_GB2312"/>
          <w:color w:val="000000"/>
          <w:spacing w:val="0"/>
          <w:w w:val="100"/>
          <w:kern w:val="2"/>
          <w:position w:val="0"/>
          <w:sz w:val="32"/>
          <w:szCs w:val="32"/>
          <w:u w:val="none"/>
          <w:shd w:val="clear" w:color="auto" w:fill="auto"/>
          <w:lang w:val="en-US" w:eastAsia="zh-CN" w:bidi="zh-TW"/>
        </w:rPr>
        <w:t>业务范围工作，</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4#、5#线成品替代燃料投加使用量按不含税价格_</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**_</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元/吨，税额_</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**_</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元/吨予以结算；</w:t>
      </w:r>
    </w:p>
    <w:p w14:paraId="78473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包件</w:t>
      </w:r>
      <w:r>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t>②</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业务范围工作，污染土大棚内污染土及一般固废的分拣、打堆与堆场皮带上料按不含税价格_</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**_</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元/吨，税额_</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**_</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元/吨予以结算，转运矿山打堆（设备配有除铁装置）按不含税价格_</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**_</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_元/吨，税额_</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**_</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_元/吨予以结算；</w:t>
      </w:r>
    </w:p>
    <w:p w14:paraId="3FF445D7">
      <w:pPr>
        <w:pStyle w:val="6"/>
        <w:keepNext w:val="0"/>
        <w:keepLines w:val="0"/>
        <w:pageBreakBefore w:val="0"/>
        <w:widowControl w:val="0"/>
        <w:numPr>
          <w:ilvl w:val="0"/>
          <w:numId w:val="0"/>
        </w:numPr>
        <w:shd w:val="clear" w:color="auto" w:fill="auto"/>
        <w:tabs>
          <w:tab w:val="left" w:pos="358"/>
        </w:tabs>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default" w:ascii="仿宋_GB2312" w:hAnsi="仿宋_GB2312" w:eastAsia="仿宋_GB2312" w:cs="仿宋_GB2312"/>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包件</w:t>
      </w:r>
      <w:r>
        <w:rPr>
          <w:rFonts w:hint="default" w:ascii="仿宋_GB2312" w:hAnsi="仿宋_GB2312" w:eastAsia="仿宋_GB2312" w:cs="仿宋_GB2312"/>
          <w:color w:val="000000"/>
          <w:spacing w:val="0"/>
          <w:w w:val="100"/>
          <w:kern w:val="2"/>
          <w:position w:val="0"/>
          <w:sz w:val="32"/>
          <w:szCs w:val="32"/>
          <w:u w:val="none"/>
          <w:shd w:val="clear" w:color="auto" w:fill="auto"/>
          <w:lang w:val="en-US" w:eastAsia="zh-CN" w:bidi="zh-TW"/>
        </w:rPr>
        <w:t>③</w:t>
      </w:r>
      <w:r>
        <w:rPr>
          <w:rFonts w:hint="eastAsia" w:ascii="仿宋_GB2312" w:hAnsi="仿宋_GB2312" w:eastAsia="仿宋_GB2312" w:cs="仿宋_GB2312"/>
          <w:color w:val="000000" w:themeColor="text1"/>
          <w:spacing w:val="0"/>
          <w:w w:val="100"/>
          <w:kern w:val="2"/>
          <w:position w:val="0"/>
          <w:sz w:val="32"/>
          <w:szCs w:val="32"/>
          <w:u w:val="none"/>
          <w:shd w:val="clear" w:color="auto" w:fill="auto"/>
          <w:lang w:val="en-US" w:eastAsia="zh-CN" w:bidi="zh-TW"/>
          <w14:textFill>
            <w14:solidFill>
              <w14:schemeClr w14:val="tx1"/>
            </w14:solidFill>
          </w14:textFill>
        </w:rPr>
        <w:t>业务范围工作，4#、5#、6#、7#、8#线替代燃料范围内所有生产现场清洁按月度替代燃料处置量不含税</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_</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**_</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元/班/人（每班8小时），月度劳务费用结算税额</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**_</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%予以结算。</w:t>
      </w:r>
    </w:p>
    <w:p w14:paraId="41BD8D96">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费用包含所有设备机器使用、人工及相关设备的备件辅材消耗；未按时及未按要求完成工作的予以相应扣款直接从结算费用中扣除；吨量核算基准以甲方提供的</w:t>
      </w:r>
      <w:r>
        <w:rPr>
          <w:rFonts w:hint="eastAsia" w:ascii="仿宋_GB2312" w:hAnsi="仿宋_GB2312" w:eastAsia="仿宋_GB2312" w:cs="仿宋_GB2312"/>
          <w:color w:val="000000" w:themeColor="text1"/>
          <w:spacing w:val="0"/>
          <w:w w:val="100"/>
          <w:position w:val="0"/>
          <w:sz w:val="32"/>
          <w:szCs w:val="32"/>
          <w:u w:val="single"/>
          <w:shd w:val="clear" w:color="auto" w:fill="auto"/>
          <w:lang w:val="en-US" w:eastAsia="zh-CN" w:bidi="zh-TW"/>
          <w14:textFill>
            <w14:solidFill>
              <w14:schemeClr w14:val="tx1"/>
            </w14:solidFill>
          </w14:textFill>
        </w:rPr>
        <w:t>劳务对账清单</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为准，现场清洁按劳务甲方提供的</w:t>
      </w:r>
      <w:r>
        <w:rPr>
          <w:rFonts w:hint="eastAsia" w:ascii="仿宋_GB2312" w:hAnsi="仿宋_GB2312" w:eastAsia="仿宋_GB2312" w:cs="仿宋_GB2312"/>
          <w:color w:val="000000" w:themeColor="text1"/>
          <w:spacing w:val="0"/>
          <w:w w:val="100"/>
          <w:position w:val="0"/>
          <w:sz w:val="32"/>
          <w:szCs w:val="32"/>
          <w:u w:val="single"/>
          <w:shd w:val="clear" w:color="auto" w:fill="auto"/>
          <w:lang w:val="en-US" w:eastAsia="zh-CN" w:bidi="zh-TW"/>
          <w14:textFill>
            <w14:solidFill>
              <w14:schemeClr w14:val="tx1"/>
            </w14:solidFill>
          </w14:textFill>
        </w:rPr>
        <w:t>考勤</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双方确认。</w:t>
      </w:r>
    </w:p>
    <w:p w14:paraId="5469AFA3">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1.4.</w:t>
      </w:r>
      <w:r>
        <w:rPr>
          <w:rFonts w:hint="default"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合同期限：一年，暂定为（202</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6</w:t>
      </w:r>
      <w:r>
        <w:rPr>
          <w:rFonts w:hint="default"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年</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2</w:t>
      </w:r>
      <w:r>
        <w:rPr>
          <w:rFonts w:hint="default"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月</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1</w:t>
      </w:r>
      <w:r>
        <w:rPr>
          <w:rFonts w:hint="default"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日至202</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7</w:t>
      </w:r>
      <w:r>
        <w:rPr>
          <w:rFonts w:hint="default"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年</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1</w:t>
      </w:r>
      <w:r>
        <w:rPr>
          <w:rFonts w:hint="default"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月</w:t>
      </w:r>
      <w:r>
        <w:rPr>
          <w:rFonts w:hint="eastAsia"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31</w:t>
      </w:r>
      <w:r>
        <w:rPr>
          <w:rFonts w:hint="default" w:ascii="仿宋_GB2312" w:hAnsi="仿宋_GB2312" w:eastAsia="仿宋_GB2312" w:cs="仿宋_GB2312"/>
          <w:color w:val="000000" w:themeColor="text1"/>
          <w:spacing w:val="0"/>
          <w:w w:val="100"/>
          <w:position w:val="0"/>
          <w:sz w:val="32"/>
          <w:szCs w:val="32"/>
          <w:u w:val="none"/>
          <w:shd w:val="clear" w:color="auto" w:fill="auto"/>
          <w:lang w:val="en-US" w:eastAsia="zh-CN" w:bidi="zh-TW"/>
          <w14:textFill>
            <w14:solidFill>
              <w14:schemeClr w14:val="tx1"/>
            </w14:solidFill>
          </w14:textFill>
        </w:rPr>
        <w:t>日）具体以实际签订合同为准。</w:t>
      </w:r>
    </w:p>
    <w:p w14:paraId="3107CD3F">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bookmarkStart w:id="0" w:name="bookmark4"/>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2</w:t>
      </w:r>
      <w:bookmarkEnd w:id="0"/>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.招标方式</w:t>
      </w:r>
    </w:p>
    <w:p w14:paraId="2082DC7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采用公开招标方式。</w:t>
      </w:r>
    </w:p>
    <w:p w14:paraId="6DEFBECC">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bookmarkStart w:id="1" w:name="bookmark5"/>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3</w:t>
      </w:r>
      <w:bookmarkEnd w:id="1"/>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.投标人资格要求</w:t>
      </w:r>
    </w:p>
    <w:p w14:paraId="439B9296">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2" w:name="bookmark6"/>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3</w:t>
      </w:r>
      <w:bookmarkEnd w:id="2"/>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1投标人必须包含独立法人资格,并经过注册地工商行政管理局年检过的企业法人组织(注册资本金达50万元人民币&lt;含&gt;以上),能提供本单位营业执照、本单位或税务部门开具的正规劳务发票(合规、合法、有效的增值税专用发票),无不良经营记录。</w:t>
      </w:r>
    </w:p>
    <w:p w14:paraId="40C0847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3" w:name="bookmark7"/>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3</w:t>
      </w:r>
      <w:bookmarkEnd w:id="3"/>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.2本次招标活动要求投标单位具有劳务保供的经验（要求提供相关证明）和较强的劳务作业能力。</w:t>
      </w:r>
    </w:p>
    <w:p w14:paraId="7E3DF5A6">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4" w:name="bookmark8"/>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3</w:t>
      </w:r>
      <w:bookmarkEnd w:id="4"/>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.3投标单位的经营范围应包含劳务外包等符合本次招标项目的内容。如投标人有相关劳务从业经历并可提供劳务合同复印件的,亦可视为资格有效的投标人参与本次投标。</w:t>
      </w:r>
    </w:p>
    <w:p w14:paraId="29277C15">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bookmarkStart w:id="5" w:name="bookmark9"/>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4</w:t>
      </w:r>
      <w:bookmarkEnd w:id="5"/>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.本次招标劳务费用在合同期内固定不变，在合同履行期间，劳务单位不得以任何理由向招标方申请提高劳务费用标准。</w:t>
      </w:r>
    </w:p>
    <w:p w14:paraId="7BFF09AF">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bookmarkStart w:id="6" w:name="bookmark10"/>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5</w:t>
      </w:r>
      <w:bookmarkEnd w:id="6"/>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.招标文件的获取</w:t>
      </w:r>
    </w:p>
    <w:p w14:paraId="7096BED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7" w:name="bookmark11"/>
      <w:bookmarkEnd w:id="7"/>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5.1凡有意参加投标者请于2025年</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12</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月</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29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日至2026年</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1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月</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5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日，每日上午8:00时至11:00时,下午13:30时至17:00时（北京时间，下同），持单位介绍信、本人身份证、劳务经营许可证原件购买招标文件。投标人须在2026年</w:t>
      </w:r>
      <w:r>
        <w:rPr>
          <w:rFonts w:hint="eastAsia" w:ascii="仿宋_GB2312" w:hAnsi="仿宋_GB2312" w:eastAsia="仿宋_GB2312" w:cs="仿宋_GB2312"/>
          <w:color w:val="FFFFFF" w:themeColor="background1"/>
          <w:spacing w:val="0"/>
          <w:w w:val="100"/>
          <w:position w:val="0"/>
          <w:sz w:val="32"/>
          <w:szCs w:val="32"/>
          <w:u w:val="none"/>
          <w:shd w:val="clear" w:color="auto" w:fill="auto"/>
          <w:lang w:val="en-US" w:eastAsia="zh-CN" w:bidi="zh-TW"/>
          <w14:textFill>
            <w14:solidFill>
              <w14:schemeClr w14:val="bg1"/>
            </w14:solidFill>
          </w14:textFill>
        </w:rPr>
        <w:t>7</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1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月</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5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日17:00前将标书款电汇至指定账号（标书费：人民币200元，不收取现金），具体银行信息如下：</w:t>
      </w:r>
    </w:p>
    <w:p w14:paraId="0C03697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公司名称：池州海螺环保科技有限责任公司</w:t>
      </w:r>
    </w:p>
    <w:p w14:paraId="08FAC0E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账</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ab/>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号：1782 5462 1328</w:t>
      </w:r>
    </w:p>
    <w:p w14:paraId="11C50A71">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开户行：中国银行股份有限公司池州分行</w:t>
      </w:r>
    </w:p>
    <w:p w14:paraId="61CC2F6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8" w:name="bookmark12"/>
      <w:bookmarkEnd w:id="8"/>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5.2招标文件售后不退。</w:t>
      </w:r>
    </w:p>
    <w:p w14:paraId="6B05681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5.3发售地点：池州海螺环保科技有限责任公司财务处</w:t>
      </w:r>
    </w:p>
    <w:p w14:paraId="0F96C0EF">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6.投标文件的递交</w:t>
      </w:r>
      <w:bookmarkStart w:id="9" w:name="bookmark14"/>
      <w:bookmarkEnd w:id="9"/>
    </w:p>
    <w:p w14:paraId="364E90FF">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6.</w:t>
      </w:r>
      <w:r>
        <w:rPr>
          <w:rFonts w:hint="eastAsia" w:ascii="仿宋_GB2312" w:hAnsi="仿宋_GB2312" w:eastAsia="仿宋_GB2312" w:cs="仿宋_GB2312"/>
          <w:color w:val="000000"/>
          <w:spacing w:val="0"/>
          <w:w w:val="100"/>
          <w:position w:val="0"/>
          <w:sz w:val="32"/>
          <w:szCs w:val="32"/>
          <w:u w:val="none"/>
          <w:shd w:val="clear" w:color="auto" w:fill="auto"/>
          <w:lang w:val="zh-CN" w:eastAsia="zh-CN" w:bidi="zh-TW"/>
        </w:rPr>
        <w:t>1</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递交投标文件的截止时间为：2026年</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1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月</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7</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日17：00时。</w:t>
      </w:r>
    </w:p>
    <w:p w14:paraId="78CC7D7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递交地点：池州海螺环保科技有限责任公司财务处</w:t>
      </w:r>
    </w:p>
    <w:p w14:paraId="1B72B03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en-US" w:bidi="zh-TW"/>
        </w:rPr>
        <w:t>6.2</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逾期送达或者未送达指定地点的投标文件，招标人不予受理。</w:t>
      </w:r>
    </w:p>
    <w:p w14:paraId="647B796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10" w:name="bookmark15"/>
      <w:bookmarkEnd w:id="10"/>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6.3投标人递交投标文件时须交纳投标保证金，包件投标保证金为叁万元，投标保证金请于开标前汇入招标人帐户（银行转账或电汇均可）见下，确保到账，并在汇款单上注明所投标项目名称、包件名，不接受个人汇款。未按期汇入投标保证金的，其投标文件作废标处理。投标保证金待开标后在规定的期限内按招标文件规定退还投标人。</w:t>
      </w:r>
    </w:p>
    <w:p w14:paraId="3301B69D">
      <w:pPr>
        <w:pStyle w:val="2"/>
        <w:keepNext w:val="0"/>
        <w:keepLines w:val="0"/>
        <w:pageBreakBefore w:val="0"/>
        <w:widowControl w:val="0"/>
        <w:kinsoku/>
        <w:wordWrap/>
        <w:overflowPunct/>
        <w:topLinePunct w:val="0"/>
        <w:bidi w:val="0"/>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.4 投标人一旦中标，需缴纳</w:t>
      </w:r>
      <w:r>
        <w:rPr>
          <w:rFonts w:hint="eastAsia" w:ascii="仿宋_GB2312" w:hAnsi="仿宋_GB2312" w:eastAsia="仿宋_GB2312" w:cs="仿宋_GB2312"/>
          <w:b/>
          <w:bCs/>
          <w:color w:val="000000"/>
          <w:sz w:val="32"/>
          <w:szCs w:val="32"/>
          <w:u w:val="single"/>
        </w:rPr>
        <w:t>合同履约保证金</w:t>
      </w:r>
      <w:r>
        <w:rPr>
          <w:rFonts w:hint="eastAsia" w:ascii="仿宋_GB2312" w:hAnsi="仿宋_GB2312" w:eastAsia="仿宋_GB2312" w:cs="仿宋_GB2312"/>
          <w:b/>
          <w:bCs/>
          <w:color w:val="000000"/>
          <w:sz w:val="32"/>
          <w:szCs w:val="32"/>
          <w:u w:val="single"/>
          <w:lang w:val="en-US" w:eastAsia="zh-CN"/>
        </w:rPr>
        <w:t>陆万</w:t>
      </w:r>
      <w:r>
        <w:rPr>
          <w:rFonts w:hint="eastAsia" w:ascii="仿宋_GB2312" w:hAnsi="仿宋_GB2312" w:eastAsia="仿宋_GB2312" w:cs="仿宋_GB2312"/>
          <w:b/>
          <w:bCs/>
          <w:color w:val="000000"/>
          <w:sz w:val="32"/>
          <w:szCs w:val="32"/>
          <w:u w:val="single"/>
        </w:rPr>
        <w:t>元</w:t>
      </w:r>
      <w:r>
        <w:rPr>
          <w:rFonts w:hint="eastAsia" w:ascii="仿宋_GB2312" w:hAnsi="仿宋_GB2312" w:eastAsia="仿宋_GB2312" w:cs="仿宋_GB2312"/>
          <w:color w:val="000000"/>
          <w:sz w:val="32"/>
          <w:szCs w:val="32"/>
        </w:rPr>
        <w:t>，在合同期内无违约行为，待合同到期后一个月内</w:t>
      </w:r>
      <w:r>
        <w:rPr>
          <w:rFonts w:hint="eastAsia" w:ascii="仿宋_GB2312" w:hAnsi="仿宋_GB2312" w:eastAsia="仿宋_GB2312" w:cs="仿宋_GB2312"/>
          <w:color w:val="000000"/>
          <w:sz w:val="32"/>
          <w:szCs w:val="32"/>
          <w:lang w:val="en-US" w:eastAsia="zh-CN"/>
        </w:rPr>
        <w:t>提出申请并</w:t>
      </w:r>
      <w:r>
        <w:rPr>
          <w:rFonts w:hint="eastAsia" w:ascii="仿宋_GB2312" w:hAnsi="仿宋_GB2312" w:eastAsia="仿宋_GB2312" w:cs="仿宋_GB2312"/>
          <w:color w:val="000000"/>
          <w:sz w:val="32"/>
          <w:szCs w:val="32"/>
        </w:rPr>
        <w:t>无息退还。</w:t>
      </w:r>
    </w:p>
    <w:p w14:paraId="03148779">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公司名称：池州海螺环保科技有限责任公司</w:t>
      </w:r>
    </w:p>
    <w:p w14:paraId="31321FC7">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账</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ab/>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号：1782 5462 1328</w:t>
      </w:r>
    </w:p>
    <w:p w14:paraId="5DDBA294">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开户行：中国银行股份有限公司池州分行</w:t>
      </w:r>
    </w:p>
    <w:p w14:paraId="529384B2">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7.劳务现场勘察</w:t>
      </w:r>
    </w:p>
    <w:p w14:paraId="30A17D21">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11" w:name="bookmark17"/>
      <w:bookmarkEnd w:id="11"/>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7.1为准确了解劳务作业量及作业环境情况，招标方组织已领取招标文件的投标人进行一次现场勘察，各勘查单位需在现场勘查记录表确认，现场勘察截止时间：2025年</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12</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月</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29</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日至2026年</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1</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月</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5</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日，具体时间由招标人与投标人共同确定。</w:t>
      </w:r>
    </w:p>
    <w:p w14:paraId="1237C0F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12" w:name="bookmark18"/>
      <w:bookmarkEnd w:id="12"/>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7.2现场勘察发生的一切费用由各投标人自行处理，招标人不予承担，现场勘察过程中如若发生事故或人身伤亡，招标人不承担责任。</w:t>
      </w:r>
    </w:p>
    <w:p w14:paraId="474C49EC">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13" w:name="bookmark19"/>
      <w:bookmarkEnd w:id="13"/>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7.3投标人必须参与现场勘察，并出具现场勘查记录，否则不得参与投标。</w:t>
      </w:r>
    </w:p>
    <w:p w14:paraId="0DF49AEA">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8.公示时间</w:t>
      </w:r>
    </w:p>
    <w:p w14:paraId="6E06D63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2025年</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12</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月</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23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日—2025年</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12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月</w:t>
      </w:r>
      <w:r>
        <w:rPr>
          <w:rFonts w:hint="eastAsia" w:ascii="仿宋_GB2312" w:hAnsi="仿宋_GB2312" w:eastAsia="仿宋_GB2312" w:cs="仿宋_GB2312"/>
          <w:color w:val="000000"/>
          <w:spacing w:val="0"/>
          <w:w w:val="100"/>
          <w:position w:val="0"/>
          <w:sz w:val="32"/>
          <w:szCs w:val="32"/>
          <w:u w:val="single"/>
          <w:shd w:val="clear" w:color="auto" w:fill="auto"/>
          <w:lang w:val="en-US" w:eastAsia="zh-CN" w:bidi="zh-TW"/>
        </w:rPr>
        <w:t xml:space="preserve"> 29 </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日</w:t>
      </w:r>
    </w:p>
    <w:p w14:paraId="165CD160">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9.其他要求</w:t>
      </w:r>
    </w:p>
    <w:p w14:paraId="2EECAA61">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14" w:name="bookmark21"/>
      <w:bookmarkEnd w:id="14"/>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9.1中标人在从业期间必须为全体从业人员缴纳安全生产责任险或雇主责任险（保额不少于150万/人）、提供身体健康及职业健康体检证明材料，配备符合国家现行法律法规要求劳动防护用品。</w:t>
      </w:r>
    </w:p>
    <w:p w14:paraId="630B17B6">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15" w:name="bookmark22"/>
      <w:bookmarkEnd w:id="15"/>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9.2中标人必须遵守国家法律法规及池州海螺环保科技有限责任公司安全管理制度要求。</w:t>
      </w:r>
    </w:p>
    <w:p w14:paraId="1A24A1E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bookmarkStart w:id="16" w:name="bookmark23"/>
      <w:bookmarkEnd w:id="16"/>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9.3中标人在从业期间必须严格按照招标人公司管理规定执行。如违反约定的，招标人有权按照约定条款进行处罚。</w:t>
      </w:r>
    </w:p>
    <w:p w14:paraId="0DEF131E">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9</w:t>
      </w:r>
      <w:r>
        <w:rPr>
          <w:rFonts w:hint="eastAsia" w:ascii="仿宋_GB2312" w:hAnsi="仿宋_GB2312" w:eastAsia="仿宋_GB2312" w:cs="仿宋_GB2312"/>
          <w:color w:val="000000"/>
          <w:spacing w:val="0"/>
          <w:w w:val="100"/>
          <w:position w:val="0"/>
          <w:sz w:val="32"/>
          <w:szCs w:val="32"/>
          <w:u w:val="none"/>
          <w:shd w:val="clear" w:color="auto" w:fill="auto"/>
          <w:lang w:val="en-US" w:eastAsia="en-US" w:bidi="zh-TW"/>
        </w:rPr>
        <w:t>.4</w:t>
      </w: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中标人在从业期间所需的各项工具，劳保均由中标人自行承担。</w:t>
      </w:r>
    </w:p>
    <w:p w14:paraId="4D8C8E2B">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pPr>
      <w:bookmarkStart w:id="17" w:name="bookmark24"/>
      <w:bookmarkEnd w:id="17"/>
      <w:r>
        <w:rPr>
          <w:rFonts w:hint="eastAsia" w:ascii="仿宋_GB2312" w:hAnsi="仿宋_GB2312" w:eastAsia="仿宋_GB2312" w:cs="仿宋_GB2312"/>
          <w:b/>
          <w:bCs/>
          <w:color w:val="000000"/>
          <w:spacing w:val="0"/>
          <w:w w:val="100"/>
          <w:position w:val="0"/>
          <w:sz w:val="32"/>
          <w:szCs w:val="32"/>
          <w:u w:val="none"/>
          <w:shd w:val="clear" w:color="auto" w:fill="auto"/>
          <w:lang w:val="en-US" w:eastAsia="zh-CN" w:bidi="zh-TW"/>
        </w:rPr>
        <w:t>10.联系方式</w:t>
      </w:r>
    </w:p>
    <w:p w14:paraId="745DF5AD">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招标人：池州海螺环保科技有限责任公司</w:t>
      </w:r>
    </w:p>
    <w:p w14:paraId="4055024C">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地 址：安徽省池州市贵池区牛头山镇池州海螺水泥厂内</w:t>
      </w:r>
    </w:p>
    <w:p w14:paraId="7107F69F">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联系人：方  皓   联系电话：13006209535</w:t>
      </w:r>
    </w:p>
    <w:p w14:paraId="53849621">
      <w:pPr>
        <w:keepNext w:val="0"/>
        <w:keepLines w:val="0"/>
        <w:pageBreakBefore w:val="0"/>
        <w:widowControl w:val="0"/>
        <w:shd w:val="clear" w:color="auto" w:fill="auto"/>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pPr>
      <w:r>
        <w:rPr>
          <w:rFonts w:hint="eastAsia" w:ascii="仿宋_GB2312" w:hAnsi="仿宋_GB2312" w:eastAsia="仿宋_GB2312" w:cs="仿宋_GB2312"/>
          <w:color w:val="000000"/>
          <w:spacing w:val="0"/>
          <w:w w:val="100"/>
          <w:position w:val="0"/>
          <w:sz w:val="32"/>
          <w:szCs w:val="32"/>
          <w:u w:val="none"/>
          <w:shd w:val="clear" w:color="auto" w:fill="auto"/>
          <w:lang w:val="en-US" w:eastAsia="zh-CN" w:bidi="zh-TW"/>
        </w:rPr>
        <w:t>万淑莹   联系电话：17756230407</w:t>
      </w:r>
    </w:p>
    <w:p w14:paraId="640D17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18CF0C-9F33-47B8-BDBE-DC677D06F725}"/>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2" w:fontKey="{CB6266F3-9D94-4CC0-A0C8-176BA0B7C21C}"/>
  </w:font>
  <w:font w:name="仿宋_GB2312">
    <w:altName w:val="仿宋"/>
    <w:panose1 w:val="02010609030101010101"/>
    <w:charset w:val="86"/>
    <w:family w:val="modern"/>
    <w:pitch w:val="default"/>
    <w:sig w:usb0="00000000" w:usb1="00000000" w:usb2="00000000" w:usb3="00000000" w:csb0="00040000" w:csb1="00000000"/>
    <w:embedRegular r:id="rId3" w:fontKey="{75026A92-D9FA-42F2-BD9A-BC5C8FA43578}"/>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CB901"/>
    <w:multiLevelType w:val="singleLevel"/>
    <w:tmpl w:val="10DCB90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D082A"/>
    <w:rsid w:val="6D3D0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next w:val="3"/>
    <w:unhideWhenUsed/>
    <w:qFormat/>
    <w:uiPriority w:val="0"/>
    <w:pPr>
      <w:widowControl w:val="0"/>
      <w:autoSpaceDE w:val="0"/>
      <w:autoSpaceDN w:val="0"/>
      <w:adjustRightInd w:val="0"/>
    </w:pPr>
    <w:rPr>
      <w:rFonts w:hint="eastAsia" w:ascii="微软雅黑" w:hAnsi="微软雅黑" w:eastAsia="微软雅黑" w:cs="Times New Roman"/>
      <w:color w:val="000000"/>
      <w:sz w:val="24"/>
      <w:szCs w:val="22"/>
      <w:lang w:val="en-US" w:eastAsia="zh-CN" w:bidi="ar-SA"/>
    </w:rPr>
  </w:style>
  <w:style w:type="paragraph" w:styleId="3">
    <w:name w:val="toc 2"/>
    <w:basedOn w:val="1"/>
    <w:next w:val="1"/>
    <w:semiHidden/>
    <w:qFormat/>
    <w:uiPriority w:val="0"/>
    <w:pPr>
      <w:ind w:left="420" w:leftChars="200"/>
    </w:pPr>
  </w:style>
  <w:style w:type="paragraph" w:customStyle="1" w:styleId="6">
    <w:name w:val="Body text|1"/>
    <w:basedOn w:val="1"/>
    <w:qFormat/>
    <w:uiPriority w:val="0"/>
    <w:pPr>
      <w:widowControl w:val="0"/>
      <w:shd w:val="clear" w:color="auto" w:fill="auto"/>
      <w:spacing w:line="437"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2025-12-22T06:40:00Z</dcterms:created>
  <dc:creator>Boddidi</dc:creator>
  <cp:lastModifiedBy>Boddidi</cp:lastModifiedBy>
  <dcterms:modified xsi:type="dcterms:W3CDTF">2025-12-22T07:28:35Z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5239A0199C8F40E5A0D2E1C6B4748735_11</vt:lpwstr>
  </property>
  <property fmtid="{D5CDD505-2E9C-101B-9397-08002B2CF9AE}" pid="4" name="KSOTemplateDocerSaveRecord">
    <vt:lpwstr>eyJoZGlkIjoiMjNlYTg4MzJkZWVkNzZiNWQwYWRiM2JhODVkNDBmNzUiLCJ1c2VySWQiOiI5ODU5Mzc4ODAifQ==</vt:lpwstr>
  </property>
</Properties>
</file>